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16 96 vom 14. November 2017</w:t>
      </w:r>
    </w:p>
    <w:p>
      <w:r>
        <w:t>VS Kantonsgericht, 2017-11-14, FR</w:t>
      </w:r>
    </w:p>
    <w:p>
      <w:r>
        <w:rPr>
          <w:b/>
        </w:rPr>
        <w:t xml:space="preserve">Quelle: </w:t>
      </w:r>
      <w:r>
        <w:t>https://mcp.opencaselaw.ch/entscheid/vs_gerichte_P1 16 96</w:t>
      </w:r>
    </w:p>
    <w:p>
      <w:r>
        <w:t>FR: VS_GERICHTE P1 16 96 du 14 novembre 2017</w:t>
      </w:r>
    </w:p>
    <w:p>
      <w:r>
        <w:t>IT: VS_GERICHTE P1 16 96 del 14 novembre 2017</w:t>
      </w:r>
    </w:p>
    <w:p>
      <w:pPr>
        <w:pStyle w:val="Heading2"/>
      </w:pPr>
      <w:r>
        <w:t>Regeste</w:t>
      </w:r>
    </w:p>
    <w:p>
      <w:r>
        <w:t>Par arrêt du 14 novembre 2017 (6B_292/2017), le Tribunal fédéral a rejeté le recours en matière pénale interjeté par X _________ contre ce jugement. P1 16 96 JUGEMENT DU 27 JANVIER 2017 Tribunal cantonal du Valais Cour pénale II Composition : Bertrand Dayer, président ; Jean-Pierre Derivaz et Stéphane Spahr, juges ; Yves Burnier, greffier en la cause Ministère public, représenté par M_________ et X_________, partie plaignante, représenté par Maître N_________ ainsi que Y_________, partie plaignante, représenté par Maître O_________</w:t>
      </w:r>
    </w:p>
    <w:p>
      <w:pPr>
        <w:pStyle w:val="Heading2"/>
      </w:pPr>
      <w:r>
        <w:t>Erwägungen</w:t>
      </w:r>
    </w:p>
    <w:p>
      <w:r>
        <w:rPr>
          <w:b/>
        </w:rPr>
        <w:t>E. 6</w:t>
      </w:r>
    </w:p>
    <w:p>
      <w:r>
        <w:t>L'appelant conteste la qualification de tentative de meurtre (art. 22 al. 1 CP en lien avec l’art. 111 CP) retenue par le tribunal de première instance.</w:t>
      </w:r>
    </w:p>
    <w:p>
      <w:r>
        <w:t>- 15 -</w:t>
      </w:r>
    </w:p>
    <w:p>
      <w:r>
        <w:rPr>
          <w:b/>
        </w:rPr>
        <w:t>E. 6.1</w:t>
      </w:r>
    </w:p>
    <w:p>
      <w:r>
        <w:t>L’art. 111 CP punit d’une peine privative de liberté de cinq ans au moins celui qui aura intentionnellement tué une personne. Conformément à l’art. 12 al. 2 CP, l’auteur agit déjà intentionnellement lorsqu’il tient pour possible la réalisation de l’infraction et l’accepte au cas où celle-ci se produirait.</w:t>
      </w:r>
    </w:p>
    <w:p>
      <w:r>
        <w:rPr>
          <w:b/>
        </w:rPr>
        <w:t>E. 6.2</w:t>
      </w:r>
    </w:p>
    <w:p>
      <w:r>
        <w:t>Le jugement entrepris (cf. consid. 18.1 de celui-ci) a correctement exposé les conditions d’application de ces dispositions, si bien que l’on peut s’y référer.</w:t>
      </w:r>
    </w:p>
    <w:p>
      <w:r>
        <w:rPr>
          <w:b/>
        </w:rPr>
        <w:t>E. 6.3</w:t>
      </w:r>
    </w:p>
    <w:p>
      <w:r>
        <w:t>Ainsi qu’on l’a vu, compte tenu de la manière et du contexte dans lequel le prévenu a frappé les plaignants avec son opinel, il n’a pu que s’accommoder d’une possible issue mortelle de ses actes - éminemment dangereux - si celle-ci survenait (cf. consid. 3.10 ci-dessus). En d’autres termes, il a placé la vie de ses victimes dans un tel grand danger qu’il n’a pu qu’envisager la haute vraisemblance de les blesser mortellement et s’en est satisfait. Ce résultat ne s’est heureusement pas produit, si bien que son comportement est constitutif de tentative de meurtre par dol éventuel (art. 12 al. 2, 22 al. 1 et 111 CP), comme l’a décidé à bon droit le Tribunal d’arrondissement (cf. consid. 18.2 de son jugement).</w:t>
      </w:r>
    </w:p>
    <w:p>
      <w:r>
        <w:rPr>
          <w:b/>
        </w:rPr>
        <w:t>E. 7</w:t>
      </w:r>
    </w:p>
    <w:p>
      <w:r>
        <w:t>En s’opposant aux injonctions des policiers et en rendant plus difficile son interpellation de la manière décrite ci-avant (cf. consid. 3.11), Z_________ s’est également rendu coupable de violence ou menace contre les autorités et les fonctionnaires au sens de l’art. 285 ch. 1 CP, ce qu’il ne conteste pas (cf. également consid. 20 du jugement de première instance).</w:t>
      </w:r>
    </w:p>
    <w:p>
      <w:r>
        <w:rPr>
          <w:b/>
        </w:rPr>
        <w:t>E. 8</w:t>
      </w:r>
    </w:p>
    <w:p>
      <w:r>
        <w:t>Dans l’hypothèse où l’infraction de tentative de meurtre devait être retenue à son encontre, ce qui est le cas comme on vient de le voir (cf. consid. 6), l’appelant s’en prend à la peine privative de liberté de cinq ans qui lui a été infligée par les premiers juges en la considérant comme « extrêmement lourde » en comparaison avec la peine, de même ampleur, qui a été prononcée, pour un meurtre (par dol éventuel) consommé, dans une autre cause jugée par le Tribunal de céans (TCV P1 15 31). Toujours dans cette même hypothèse, il conclut à ce qu’il soit condamné à une peine privative de liberté de trente mois, sous déduction de la détention déjà subie, assortie d’un sursis partiel à concurrence de quinze mois.</w:t>
      </w:r>
    </w:p>
    <w:p>
      <w:r>
        <w:rPr>
          <w:b/>
        </w:rPr>
        <w:t>E. 8.1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w:t>
      </w:r>
    </w:p>
    <w:p>
      <w:r>
        <w:t>- 16 -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la jurisprudence citée). L’art. 47 CP ajoute comme critère l'effet de la peine sur l'avenir du condamné. Cet aspect de prévention spéciale ne permet toutefois que des corrections marginales, la peine devant toujours être proportionnée à la faute (arrêt 6B_890/2015 du 16 décembre 2015 consid. 2.3.4 et les références citées).</w:t>
      </w:r>
    </w:p>
    <w:p>
      <w:r>
        <w:rPr>
          <w:b/>
        </w:rPr>
        <w:t>E. 8.2</w:t>
      </w:r>
    </w:p>
    <w:p>
      <w:r>
        <w:t>Selon l'art. 19 al. 2 CP, le juge atténue la peine si, au moment d'agir, l'auteur ne possédait que partiellement la faculté d'apprécier le caractère illicite de son acte ou de se déterminer d'après cette appréciation. Une diminution de la responsabilité au sens de cette disposition conduit à une diminution de la faute et non de la peine. La réduction de celle-ci n'est que la conséquence de la faute plus légère.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une faute légère à moyenne en cas de diminution grave. Sur la base de cette appréciation, le juge doit prononcer la peine en tenant compte des autres critères de fixation de la peine. Un tel procédé permet de tenir compte de la diminution de la responsabilité sans lui attribuer une portée trop importante. Le Tribunal fédéral a en effet jugé que la réduction purement mathématique d'une peine hypothétique, comme le permettait l'ancienne jurisprudence, était contraire au système, restreignait de manière inadmissible le pouvoir d'appréciation du juge et conduisait à accorder un poids trop</w:t>
      </w:r>
    </w:p>
    <w:p>
      <w:r>
        <w:t>- 17 - important à la diminution de la capacité cognitive ou volitive telle qu'elle a été constatée par l'expert.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ainsi qu'en raison d'une éventuelle tentative selon l’art. 22 al. 1 CP (cf. arrêt 6B_975/2015 du 7 avril 2016 consid. 6.1.2 et la jurisprudence citée).</w:t>
      </w:r>
    </w:p>
    <w:p>
      <w:r>
        <w:rPr>
          <w:b/>
        </w:rPr>
        <w:t>E. 8.3</w:t>
      </w:r>
    </w:p>
    <w:p>
      <w:r>
        <w:t>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 il est en outre lié par le maximum légal de chaque genre de peine (art. 49 al. 1 CP). 8.4.1 Les mauvais antécédents - étant précisé que seuls ceux ressortant actuellement de son casier judiciaire peuvent être pris en compte au stade de la fixation de la peine (cf. arrêt 6B_494/2011 du 4 octobre 2011 consid. 2.2 et la jurisprudence citée), à savoir uniquement sa condamnation du 26 octobre 2007 - et la situation personnelle de Z_________ ont déjà été exposés ci-dessus (cf. consid. 3.1-3.3). 8.4.2 Ce dernier a tout d’abord commis, à l’encontre de deux personnes, l’une des plus lourdes infractions possibles à l’encontre de la vie humaine, à savoir une tentative de meurtre (art. 22 al. 1 et 111 CP), infraction qui, si elle est consommée, est passible, à elle seule d’une peine privative de liberté allant de cinq à vingt ans (cf. art. 40 CP). Si ses mobiles exacts demeurent indéterminés et ne peuvent que faire l’objet d’hypothèses, comme on l’a vu (cf. consid. 3.10.5), il faut toutefois admettre qu’il s’en est pris violemment et avec détermination à deux vigiles qui, dans un premier temps, se sont contentés, dans l’exercice de leurs fonctions, de lui interdire, de même qu’à ses frères et à leur ami commun, l’accès à un établissement public en raison de leur état d’ébriété - ce qui ne paraît nullement injustifié et dont l’intéressé était parfaitement informé puisqu’il suivait la discussion animée à ce sujet ayant cours entre les agents de sécurité en question et ses propres accompagnants -, puis, dans un deuxième</w:t>
      </w:r>
    </w:p>
    <w:p>
      <w:r>
        <w:t>- 18 - temps, ont été contraints de se défendre des coups qui leur ont soudainement été infligés par les frères de l’appelant et ce dernier, lesquels se trouvaient, de surcroît, en supériorité numérique. Dans un tel contexte, les actes de violence du prévenu dirigés à l’encontre desdits agents doivent être considérés comme parfaitement égoïstes, vils et complètement disproportionnés, l’usage du spray au poivre par l’un des plaignants à l’encontre de l’un de ses frères, dont il allègue pour la première fois devant la Cour de céans qu’il serait l’explication de ses agissements (cf. consid. 3.10.5), n’étant, dans ce cadre, qu’un réflexe de défense - parfaitement compréhensible - au coup de tête très agressif et totalement gratuit que venait de lui asséner soudainement ledit frère, quasiment sous ses yeux (cf. consid. 3.7). Z_________ a par ailleurs vigoureusement frappé ses deux victimes à quatre reprises en l’espace d’à peine sept secondes (cf. consid. 3.10.2), ce qui peut bel et bien être considéré comme de l’acharnement. Il a ensuite quitté les lieux, n’y revenant quelques secondes plus tard, non pas pour se soucier du sort des vigiles qu’il venait de blesser, mais pour les invectiver (cf. consid. 3.10.3), ce qui démontre que leur sort lui était alors indifférent. Il s’est ensuite également rendu coupable de violence ou menace contre les policiers venus, à juste titre, l’interpeller (cf. consid. 7), soit d’un délit - passible d’une peine pouvant aller jusqu’à trois ans de privation de liberté (cf. art. 10 al. 3 et 285 ch. 1 CP) - qui laisse apparaître son mépris de l’ordre public. 8.4.3 Toutefois, eu égard à sa responsabilité pénale moyennement diminuée (art. 19 al. 2 CP), selon les conclusions de l’expert judiciaire (cf. consid. 4) dont rien ne justifie de s’écarter, la faute qui lui est imputable doit être considérée, non pas, objectivement, comme très grave, mais, subjectivement, comme grave (cf. consid. 8.2). 8.4.4 Il y a également lieu de tenir compte, en sa faveur, du fait que, tout au long de la présente procédure, il a reconnu les faits qu’il a commis - au demeurant difficilement contestables dans la mesure où ils ont été filmés - et sa responsabilité. Il a également exprimé des regrets, s’est dit prêt à assumer ses actes et à indemniser les plaignants, s’est soucié du sort de ces derniers et leur a adressé des excuses - également sous forme de lettres (dos. p. 49 et 51) - qui paraissent sincères (cf. dos. p. 6-7, R ad Q 7-8, 11-13, p. 139, R ad Q 9-10, p. 163, R ad Q 7, p. 182-183, R ad Q 3, 12, p. 233, p. 234- 235, R ad Q 6, 11, p. 407-408, R ad Q 22, 25-27, p. 410), ce que l’expert judiciaire a du reste également relevé (cf. dos. p. 91, 93-95) et qui autorise à penser qu’il a maintenant pris pleinement conscience de l’illicéité et de la gravité de ses agissements,</w:t>
      </w:r>
    </w:p>
    <w:p>
      <w:r>
        <w:t>- 19 - même si sa volonté de bénéficier d’un soutien personnel pour éviter de nouveaux passages à l’acte violent sous l’effet de l’alcool paraît timide et non dénuée d’ambiguïté au vu de ses déclarations aux débats d’appel (cf. R ad Q 6-7). 8.4.5 Si la circonstance aggravante du concours d’infractions (cf. art. 49 al. 1 CP) doit être retenue, une atténuation de peine s’impose néanmoins en raison du fait que l’infraction la plus grave qui a été réalisée en est restée au stade de la tentative (cf. art. 22 al. 1 et 48a CP). La mesure de cette atténuation demeure cependant réduite puisque c’est, en définitive, le seul hasard qui a empêché la survenance du résultat fatal. Pour le surplus, l’appelant ne peut bénéficier d’aucune autre circonstance atténuante au sens de l’art. 48 CP. 8.4.6 Par ailleurs, Z_________ ne peut rien déduire en sa faveur de la comparaison qu’il effectue avec une autre affaire jugée par la Cour de céans il y a plus d’une année (TCV P1 15 31), pour des infractions différentes commises selon un autre modus operandi et dans un tout autre contexte par des prévenus sans traits communs avec lui (cf. sur cette question arrêt 6B_812/2015 du 16 juin 2016 consid. 3.1 et les références citées ainsi que MATHYS, Leitfaden Strafzumessung, 2016, nos 428 ss). 8.4.7 Enfin, dans la mesure où le prononcé d’une peine assortie d’un sursis complet ou partiel n’entre pas en ligne de compte (cf. consid. 8.4.8), l’effet qu’une telle peine peut avoir sur l’avenir du condamné, en l’absence d’autres éléments significatifs à cet égard (cf. MATHYS, op. cit., nos 259-265), est un paramètre sans réelle portée dans le cas d’espèce. 8.4.8 Eu égard à l’ensemble de ces circonstances, ladite Cour estime que la peine privative de liberté ferme de cinq ans prononcée par les juges de première instance est trop sévère et qu’une peine de quatre ans est suffisante pour sanctionner le comportement contraire au droit adopté par l’intéressé.</w:t>
      </w:r>
    </w:p>
    <w:p>
      <w:r>
        <w:rPr>
          <w:b/>
        </w:rPr>
        <w:t>E. 8.5</w:t>
      </w:r>
    </w:p>
    <w:p>
      <w:r>
        <w:t>La détention avant jugement, qu’il a subie dès le 13 décembre 2015, doit finalement en être déduite (art. 51 CP) comme l’ont décidé à juste titre lesdits juges.</w:t>
      </w:r>
    </w:p>
    <w:p>
      <w:r>
        <w:rPr>
          <w:b/>
        </w:rPr>
        <w:t>E. 9</w:t>
      </w:r>
    </w:p>
    <w:p>
      <w:r>
        <w:t>Z_________ doit être maintenu en détention pour garantir l’exécution de la peine prononcée (cf. art. 231 al. 1 let. a CPP mutatis mutandis; cf. ATF 139 IV 277 consid. 2.2). En effet, compte tenu de l’importance de cette dernière, on peut sérieusement craindre qu’il quitte le territoire helvétique en cas de mise en liberté (cf. également la décision prise par le président de la Cour de céans le 17 novembre 2016 [TCV P2 16 49]).</w:t>
      </w:r>
    </w:p>
    <w:p>
      <w:r>
        <w:t>- 20 - 10.1 Comme le prévenu demeure condamné, il ne se justifie pas de modifier le sort des frais d’instruction (6331 fr. 90) et de première instance (2000 fr.), soit 8331 fr. 90 au total - montant dont l’ampleur n’est pas contestée - qui doivent ainsi être laissés à sa charge (art. 426 al. 1 CPP), ce qu’il ne remet d’ailleurs pas en cause. 10.2.1 Le sort des frais de la procédure d'appel est réglé par l'article 428 al. 1 CPP, qui prévoit leur prise en charge par les parties dans la mesure où elles ont obtenu gain de cause ou ont succombé. Il convient de se fonder, à cet égard, sur leurs conclusions respectives (DOMEISEN, Commentaire bâlois, 2ème éd., 2014, n. 5 ss ad art. 428 CPP). Compte tenu du degré ordinaire de difficulté de la présente affaire, des principes de la couverture des frais et de l'équivalence des prestations, ainsi que des frais de la décision du 17 novembre 2016 dans la cause P2 16 49, fixés à 200 fr., l'émolument judiciaire - qui est en principe compris entre 380 fr. et 6000 fr. (art. 22 let. f LTar) - est fixé à 1200 francs. Vu l'admission partielle de l'appel du prévenu en rapport avec la mesure de la peine, ce montant doit être mis pour quatre cinquièmes (960 fr.) à sa charge et pour un cinquième (240 fr.) à la charge de l’Etat du Valais (fisc). 10.2.2 Le sort des dépens de la procédure d'appel est réglé par l'article 436 al. 1 CPP (DOMEISEN, n. 3 ad art. 428 CPP). En vertu de cette disposition, les prétentions en indemnités dans la procédure de recours sont régies par les articles 429 à 434 CPP. Cela implique, d'une manière générale, que les indemnités sont allouées ou mises à la charge des parties dans la mesure où celles-ci ont eu gain de cause ou ont succombé (WEHRENBERG/FRANK, Commentaire bâlois, 2ème éd., 2014, n. 4 ad art. 436 CPP ; MIZEL/RÉTORNAZ, Commentaire romand, 2011, n. 1 ad art. 436 CPP). En l'espèce, Z_________ peut prétendre à l'indemnisation par l’Etat du Valais (fisc) du cinquième de ses frais de défense pour la procédure de recours (art. 436 al. 2 CPP). Il doit pour le surplus supporter le solde desdits frais, lesquels, en tant qu’ils ont trait à sa défense d’office - au sens de l’art. 130 let. b CPP (cf. consid. 25.4.2 du jugement entrepris) -, sont toutefois avancés par la collectivité publique (cf. art. 135 CPP). Les honoraires d’avocat sont compris entre 1100 fr. et 8800 fr. (art. 36 LTar). Ils sont fixés, selon le tarif cantonal (LTar), d'après la nature et l'importance de la cause, ses difficultés, l'ampleur du travail et le temps consacré par le conseil juridique, notamment (art. 27 LTar). En l'espèce, l'activité du défenseur d’office (Maître P_________) du prévenu a consisté notamment à rédiger une annonce, puis une écriture d’appel (9 pages) et une</w:t>
      </w:r>
    </w:p>
    <w:p>
      <w:r>
        <w:t>- 21 - détermination sur le maintien en détention (2 pages), ainsi qu’à préparer et à participer aux débats de seconde instance cantonale (durée : 1h45). Dans ces conditions, l'indemnité globale (honoraires [cf. art. 30 al. 2 let. a LTar], débours et TVA confondus) à laquelle il a droit pour la présente procédure est fixée à 3800 francs (cf. la note d’honoraires du 18 janvier 2017). L’Etat du Valais (fisc) en supportera 760 fr. (1/5) et en avancera le solde, soit 3040 fr. (4/5), au titre de la défense d’office dont bénéficie l’appelant. Quant à l’activité du défenseur de choix (Maître Q_________) du condamné, elle a consisté à prendre connaissance du dossier, à s’entretenir avec son mandant ainsi qu’à préparer et à participer aux débats d’appel. Compte tenu de ces éléments, l’indemnité globale à laquelle il peut prétendre pour la présente procédure est fixée à 2800 fr., dont l’Etat du Valais (fisc) en assumera le cinquième, soit 560 francs. 10.2.3 Les parties plaignantes n’ont formulé aucune demande d’indemnisation chiffrée pour la procédure d’appel. Il n’y a dès lors pas lieu d’examiner plus avant cette question (cf. art. 433 al. 2 et 436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